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4B" w:rsidRPr="00AB1B8E" w:rsidRDefault="000E6A4B" w:rsidP="000E6A4B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noProof/>
          <w:sz w:val="20"/>
          <w:szCs w:val="20"/>
          <w:lang w:eastAsia="sl-SI"/>
        </w:rPr>
        <w:drawing>
          <wp:inline distT="0" distB="0" distL="0" distR="0" wp14:anchorId="63C67537" wp14:editId="4F8BB8AA">
            <wp:extent cx="1632308" cy="1304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19" cy="13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4B" w:rsidRPr="00AB1B8E" w:rsidRDefault="000E6A4B" w:rsidP="000E6A4B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0E6A4B" w:rsidRDefault="000E6A4B" w:rsidP="000E6A4B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Serija pogodb Sveta Evrope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- </w:t>
      </w:r>
      <w:r w:rsidRPr="00AB1B8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16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</w:t>
      </w:r>
    </w:p>
    <w:p w:rsidR="000E6A4B" w:rsidRDefault="000E6A4B" w:rsidP="00FA26A6">
      <w:pPr>
        <w:spacing w:after="240" w:line="36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sl-SI"/>
        </w:rPr>
      </w:pPr>
    </w:p>
    <w:p w:rsidR="00FA26A6" w:rsidRPr="00FA26A6" w:rsidRDefault="00FA26A6" w:rsidP="000E6A4B">
      <w:pPr>
        <w:spacing w:after="240" w:line="36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sl-SI"/>
        </w:rPr>
      </w:pPr>
      <w:r w:rsidRPr="00FA26A6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Protokol št. 2 o medobmočnem sodelovanju k Evropski okvirni konvenciji o čezmejnem sodelovanju teritorialnih skupnosti ali oblasti</w:t>
      </w:r>
    </w:p>
    <w:p w:rsidR="000E6A4B" w:rsidRDefault="000E6A4B" w:rsidP="000E6A4B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6A4B" w:rsidRPr="000E6A4B" w:rsidRDefault="000E6A4B" w:rsidP="000E6A4B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0E6A4B">
        <w:rPr>
          <w:rFonts w:ascii="Arial" w:eastAsia="Times New Roman" w:hAnsi="Arial" w:cs="Arial"/>
          <w:sz w:val="20"/>
          <w:szCs w:val="20"/>
          <w:lang w:eastAsia="sl-SI"/>
        </w:rPr>
        <w:t>Uradni list RS, št. 74/2003 z dne 30. 7. 2003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FA26A6" w:rsidRDefault="00FA26A6" w:rsidP="00FA26A6">
      <w:pPr>
        <w:spacing w:after="240" w:line="36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Uvod</w:t>
      </w:r>
    </w:p>
    <w:p w:rsidR="00CC0ED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Države članice Sveta Evrope, podpisnice tega Protokola št. 2 k Evropski okvirni konvenciji o čezmejnem sodelovanju teritorialnih skupnosti ali oblasti, so se</w:t>
      </w:r>
    </w:p>
    <w:p w:rsidR="00CC0ED6" w:rsidRDefault="00FA26A6" w:rsidP="00CC0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ob upoštevanju, da je bil 9. novembra 1995 sklenjen dodatni protokol k okvirni konvenciji, ki zadeva pravne učinke dejanj, opravljenih v okviru čezmejnega sodelovanja, in pravni status vsakega organa sodelovanja, ustanovljenega s sporazumi o čezmejnem sodelovanju; </w:t>
      </w:r>
    </w:p>
    <w:p w:rsidR="00CC0ED6" w:rsidRDefault="00FA26A6" w:rsidP="00CC0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ob upoštevanju, da teritorialne skupnosti ali oblasti za učinkovito uresničevanje svojih nalog vse bolj sodelujejo ne le s sosednjimi oblastmi drugih držav (čezmejno sodelovanje), temveč tudi s tujimi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nesosednjimi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oblastmi, s katerimi imajo skupne interese (medobmočno sodelovanje), in tega ne delajo samo v okviru organov čezmejnega sodelovanja in združenj teritorialnih skupnosti ali oblasti, temveč tudi na dvostranski ravni;</w:t>
      </w:r>
    </w:p>
    <w:p w:rsidR="00CC0ED6" w:rsidRDefault="00FA26A6" w:rsidP="00CC0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ob upoštevanju Dunajske deklaracije predsednikov držav in vlad držav članic iz leta 1993, ki je priznala vlogo Sveta Evrope pri ustvarjanju strpne in uspešne Evrope s pomočjo čezmejnega sodelovanja teritorialnih skupnosti ali oblasti;</w:t>
      </w:r>
    </w:p>
    <w:p w:rsidR="00FA26A6" w:rsidRPr="00FA26A6" w:rsidRDefault="00FA26A6" w:rsidP="00CC0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ob upoštevanju, da za medobmočno sodelovanje ni listine, ki bi bila primerljiva z Okvirno konvencijo,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lastRenderedPageBreak/>
        <w:t>v želji, da bi medobmočnemu sodelovanju dali mednarodne zakonite okvire;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sporazumele o naslednjih določbah: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  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V tem protokolu "medobmočno sodelovanje" pomeni kakršno koli skupno delovanje za vzpostavitev odnosov med teritorialnimi skupnostmi ali oblastmi dveh ali več pogodbenic, razen odnosov čezmejnega sodelovanja sosednjih oblasti, vključno s sklepanjem sporazumov o sodelovanju s teritorialnimi skupnostmi ali oblastmi drugih držav.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Vsaka pogodbenica prizna in spoštuje pravico teritorialnih skupnosti ali oblasti v okviru svoje jurisdikcije, kot je navedeno v 1. in 2. členu Evropske okvirne konvencije o čezmejnem sodelovanju teritorialnih skupnosti ali oblasti (v nadaljevanju Okvirna konvencija), da se vključujejo v razprave in da pripravljajo sporazume o medobmočnem sodelovanju na skupnih področjih odgovornosti v skladu s postopki, določenimi v njihovih statutih, in ob upoštevanju notranje zakonodaje do tiste mere, ko so takšni sporazumi v okviru mednarodnih obveznosti pogodbenice.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Sporazum o medobmočnem sodelovanju obvezuje samo tiste teritorialne skupnosti ali oblasti, ki so ga sklenile.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Pogodbenice tega protokola za medobmočno sodelovanje uporabljajo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mutatis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mutandis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Okvirno konvencijo.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Pogodbenice tega protokola, ki so tudi pogodbenice Dodatnega protokola k Okvirni konvenciji (v nadaljevanju: Dodatni protokol), uporabljajo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mutatis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mutandis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omenjeni protokol za medobmočno sodelovanje. 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V tem protokolu izraz "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mutatis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FA26A6">
        <w:rPr>
          <w:rFonts w:ascii="Arial" w:eastAsia="Times New Roman" w:hAnsi="Arial" w:cs="Arial"/>
          <w:sz w:val="20"/>
          <w:szCs w:val="20"/>
          <w:lang w:eastAsia="sl-SI"/>
        </w:rPr>
        <w:t>mutandis</w:t>
      </w:r>
      <w:proofErr w:type="spellEnd"/>
      <w:r w:rsidRPr="00FA26A6">
        <w:rPr>
          <w:rFonts w:ascii="Arial" w:eastAsia="Times New Roman" w:hAnsi="Arial" w:cs="Arial"/>
          <w:sz w:val="20"/>
          <w:szCs w:val="20"/>
          <w:lang w:eastAsia="sl-SI"/>
        </w:rPr>
        <w:t>" pomeni, da je treba v Okvirni konvenciji in v njenem Dodatnem protokolu izraz "čezmejno sodelovanje" zamenjati z izrazom "medobmočno sodelovanje" ter da se uporabljajo členi Okvirne konvencije in njenega Dodatnega protokola, razen če s tem protokolom ni drugače določeno.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6.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Vsaka pogodbenica Okvirne konvencije in Dodatnega protokola ob podpisu tega protokola ali ob deponiranju listine o ratifikaciji, sprejetju ali odobritvi izjavi, ali bo v skladu s 4. členom tega protokola uporabljala določbe 4. in 5. člena Dodatnega protokola ali samo enega od teh členov.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Taka izjava se lahko pozneje kadar koli spremeni.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Glede določb tega protokola niso dovoljeni nobeni pridržki.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Ta protokol je na voljo za podpis državam podpisnicam Okvirne konvencije, ki lahko izrazijo soglasje, da jih zavezuje: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a) podpis brez pridržka ratifikacije, sprejetja ali odobritve ali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b) podpis s pridržkom ratifikacije, sprejetja ali odobritve, ki mu sledi ratifikacija, sprejetje ali odobritev.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Država članica Sveta Evrope ne more podpisati tega protokola brez pridržka ratifikacije, sprejetja ali odobritve ali deponirati listine o ratifikaciji, sprejetju ali odobritvi, če ni že deponirala ali hkrati ne deponira listine o ratifikaciji, sprejetju ali odobritvi Okvirne konvencije.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3. Listine o ratifikaciji, sprejetju ali odobritvi se deponirajo pri generalnem sekretarju Sveta Evrope.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Ta protokol začne veljati tri mesece od dneva, ko so štiri države članice Sveta Evrope izrazile soglasje, da jih zavezuje protokol v skladu z določbami 10. člena.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Za katero koli državo članico, ki pozneje izrazi soglasje, da jo zavezuje protokol, začne protokol veljati tri mesece od dneva njenega podpisa ali deponiranja listine o ratifikaciji, sprejetju ali odobritvi.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10. člen</w:t>
      </w:r>
    </w:p>
    <w:p w:rsid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Po začetku veljavnosti tega protokola lahko k njemu pristopi tudi katera koli država, ki je pristopila k Okvirni konvenciji.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Pristop se opravi z deponiranjem listine o pristopu pri generalnem sekretarju Sveta Evrope in začne veljati tri mesece od dneva njenega deponiranja.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0E6A4B" w:rsidRDefault="000E6A4B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6A4B" w:rsidRPr="00FA26A6" w:rsidRDefault="000E6A4B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11.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1. Katera koli pogodbenica lahko kadar koli odpove ta protokol z uradnim obvestilom, naslovljenim na generalnega sekretarja Sveta Evrope.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2. Ta odpoved začne veljati šest mesecev od dneva, ko generalni sekretar prejme uradno obvestilo.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:rsidR="00FA26A6" w:rsidRPr="00FA26A6" w:rsidRDefault="00FA26A6" w:rsidP="00FA26A6">
      <w:pPr>
        <w:spacing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12. člen</w:t>
      </w:r>
    </w:p>
    <w:p w:rsidR="00FA26A6" w:rsidRPr="00FA26A6" w:rsidRDefault="00FA26A6" w:rsidP="00FA26A6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A26A6">
        <w:rPr>
          <w:rFonts w:ascii="Arial" w:eastAsia="Times New Roman" w:hAnsi="Arial" w:cs="Arial"/>
          <w:sz w:val="20"/>
          <w:szCs w:val="20"/>
          <w:lang w:eastAsia="sl-SI"/>
        </w:rPr>
        <w:t>Generalni sekretar Sveta Evrope obvesti države članice Sveta Evrope in vsako državo, ki je pristopila k temu protokolu, o: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a) vsaki izjavi, ki so jo pogodbenice predložile v skladu s 6. členom,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b) vsakem podpisu tega protokola,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c) deponiranju vsake listine o ratifikaciji, sprejetju, odobritvi ali pristopu,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d) vsakem datumu začetka veljavnosti tega protokola v skladu z 9. in 10. členom,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e) vsakem drugem ukrepu, uradnem obvestilu ali sporočilu v zvezi s tem protokolom.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V potrditev tega so podpisani, ki so bili za to pravilno pooblaščeni, podpisali ta protokol.</w:t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FA26A6">
        <w:rPr>
          <w:rFonts w:ascii="Arial" w:eastAsia="Times New Roman" w:hAnsi="Arial" w:cs="Arial"/>
          <w:sz w:val="20"/>
          <w:szCs w:val="20"/>
          <w:lang w:eastAsia="sl-SI"/>
        </w:rPr>
        <w:br/>
        <w:t>Sestavljeno v Strasbourgu 5. maja 1998 v angleščini in francoščini, pri čemer sta besedili enako verodostojni, v enem izvodu, ki se hrani v arhivu Sveta Evrope. Generalni sekretar Sveta Evrope pošlje overjene kopije vsaki državi članici Sveta Evrope in vsaki državi, ki je povabljena, da pristopi k temu protokolu.</w:t>
      </w:r>
    </w:p>
    <w:p w:rsidR="005D5212" w:rsidRPr="00FA26A6" w:rsidRDefault="005D5212" w:rsidP="00FA26A6">
      <w:pPr>
        <w:spacing w:line="360" w:lineRule="auto"/>
        <w:rPr>
          <w:sz w:val="20"/>
          <w:szCs w:val="20"/>
        </w:rPr>
      </w:pPr>
    </w:p>
    <w:sectPr w:rsidR="005D5212" w:rsidRPr="00FA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A6"/>
    <w:rsid w:val="000E6A4B"/>
    <w:rsid w:val="005D5212"/>
    <w:rsid w:val="005F04E8"/>
    <w:rsid w:val="00CC0ED6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266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499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2019-05-16T03:57:00Z</dcterms:created>
  <dcterms:modified xsi:type="dcterms:W3CDTF">2019-05-27T20:28:00Z</dcterms:modified>
</cp:coreProperties>
</file>