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0DD" w:rsidRPr="00AB1B8E" w:rsidRDefault="002F40DD" w:rsidP="002F40DD">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30FCF6A0" wp14:editId="738E1C75">
            <wp:extent cx="1632308" cy="13049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6">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2F40DD" w:rsidRPr="00AB1B8E" w:rsidRDefault="002F40DD" w:rsidP="002F40DD">
      <w:pPr>
        <w:spacing w:after="0" w:line="360" w:lineRule="auto"/>
        <w:jc w:val="right"/>
        <w:rPr>
          <w:rFonts w:ascii="Arial" w:eastAsia="Times New Roman" w:hAnsi="Arial" w:cs="Arial"/>
          <w:b/>
          <w:bCs/>
          <w:sz w:val="20"/>
          <w:szCs w:val="20"/>
          <w:lang w:eastAsia="sl-SI"/>
        </w:rPr>
      </w:pPr>
    </w:p>
    <w:p w:rsidR="002F40DD" w:rsidRPr="00AB1B8E" w:rsidRDefault="002F40DD" w:rsidP="002F40DD">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3</w:t>
      </w:r>
      <w:r>
        <w:rPr>
          <w:rFonts w:ascii="Arial" w:eastAsia="Times New Roman" w:hAnsi="Arial" w:cs="Arial"/>
          <w:b/>
          <w:bCs/>
          <w:sz w:val="20"/>
          <w:szCs w:val="20"/>
          <w:lang w:eastAsia="sl-SI"/>
        </w:rPr>
        <w:t>6</w:t>
      </w:r>
    </w:p>
    <w:p w:rsidR="002F40DD" w:rsidRDefault="002F40DD" w:rsidP="00501AC6">
      <w:pPr>
        <w:spacing w:after="240" w:line="360" w:lineRule="auto"/>
        <w:outlineLvl w:val="2"/>
        <w:rPr>
          <w:rFonts w:ascii="Arial" w:eastAsia="Times New Roman" w:hAnsi="Arial" w:cs="Arial"/>
          <w:b/>
          <w:bCs/>
          <w:sz w:val="32"/>
          <w:szCs w:val="32"/>
          <w:lang w:eastAsia="sl-SI"/>
        </w:rPr>
      </w:pPr>
    </w:p>
    <w:p w:rsidR="00501AC6" w:rsidRPr="00501AC6" w:rsidRDefault="00501AC6" w:rsidP="002F40DD">
      <w:pPr>
        <w:spacing w:after="240" w:line="360" w:lineRule="auto"/>
        <w:jc w:val="center"/>
        <w:outlineLvl w:val="2"/>
        <w:rPr>
          <w:rFonts w:ascii="Arial" w:eastAsia="Times New Roman" w:hAnsi="Arial" w:cs="Arial"/>
          <w:b/>
          <w:bCs/>
          <w:sz w:val="32"/>
          <w:szCs w:val="32"/>
          <w:lang w:eastAsia="sl-SI"/>
        </w:rPr>
      </w:pPr>
      <w:r w:rsidRPr="00501AC6">
        <w:rPr>
          <w:rFonts w:ascii="Arial" w:eastAsia="Times New Roman" w:hAnsi="Arial" w:cs="Arial"/>
          <w:b/>
          <w:bCs/>
          <w:sz w:val="32"/>
          <w:szCs w:val="32"/>
          <w:lang w:eastAsia="sl-SI"/>
        </w:rPr>
        <w:t>Četrti protokol k Splošnemu sporazumu o privilegijih in imunitetah Sveta Evrope</w:t>
      </w:r>
    </w:p>
    <w:p w:rsidR="002F40DD" w:rsidRDefault="002F40DD" w:rsidP="002F40DD">
      <w:pPr>
        <w:spacing w:after="240" w:line="360" w:lineRule="auto"/>
        <w:jc w:val="center"/>
        <w:outlineLvl w:val="2"/>
        <w:rPr>
          <w:rFonts w:ascii="Arial" w:eastAsia="Times New Roman" w:hAnsi="Arial" w:cs="Arial"/>
          <w:bCs/>
          <w:sz w:val="20"/>
          <w:szCs w:val="20"/>
          <w:lang w:eastAsia="sl-SI"/>
        </w:rPr>
      </w:pPr>
      <w:r w:rsidRPr="002F40DD">
        <w:rPr>
          <w:rFonts w:ascii="Arial" w:eastAsia="Times New Roman" w:hAnsi="Arial" w:cs="Arial"/>
          <w:bCs/>
          <w:sz w:val="20"/>
          <w:szCs w:val="20"/>
          <w:lang w:eastAsia="sl-SI"/>
        </w:rPr>
        <w:t>(Uradni list RS – Mednarodne pogodbe, št. 18/94)</w:t>
      </w:r>
    </w:p>
    <w:p w:rsidR="00501AC6" w:rsidRDefault="00501AC6" w:rsidP="00501AC6">
      <w:pPr>
        <w:spacing w:after="240" w:line="360" w:lineRule="auto"/>
        <w:outlineLvl w:val="2"/>
        <w:rPr>
          <w:rFonts w:ascii="Arial" w:eastAsia="Times New Roman" w:hAnsi="Arial" w:cs="Arial"/>
          <w:b/>
          <w:bCs/>
          <w:color w:val="FFCB08"/>
          <w:sz w:val="20"/>
          <w:szCs w:val="20"/>
          <w:lang w:eastAsia="sl-SI"/>
        </w:rPr>
      </w:pPr>
    </w:p>
    <w:p w:rsidR="002F40DD" w:rsidRDefault="002F40DD" w:rsidP="002F40DD">
      <w:pPr>
        <w:spacing w:after="240" w:line="360" w:lineRule="auto"/>
        <w:rPr>
          <w:rFonts w:ascii="Arial" w:eastAsia="Times New Roman" w:hAnsi="Arial" w:cs="Arial"/>
          <w:b/>
          <w:bCs/>
          <w:sz w:val="20"/>
          <w:szCs w:val="20"/>
          <w:lang w:eastAsia="sl-SI"/>
        </w:rPr>
      </w:pPr>
    </w:p>
    <w:p w:rsidR="002F40DD" w:rsidRDefault="002F40DD" w:rsidP="002F40DD">
      <w:pPr>
        <w:spacing w:after="240" w:line="360" w:lineRule="auto"/>
        <w:rPr>
          <w:rFonts w:ascii="Arial" w:eastAsia="Times New Roman" w:hAnsi="Arial" w:cs="Arial"/>
          <w:b/>
          <w:bCs/>
          <w:sz w:val="20"/>
          <w:szCs w:val="20"/>
          <w:lang w:eastAsia="sl-SI"/>
        </w:rPr>
      </w:pPr>
    </w:p>
    <w:p w:rsidR="00501AC6" w:rsidRPr="00501AC6" w:rsidRDefault="00501AC6" w:rsidP="002F40DD">
      <w:pPr>
        <w:spacing w:after="240" w:line="360" w:lineRule="auto"/>
        <w:rPr>
          <w:rFonts w:ascii="Arial" w:eastAsia="Times New Roman" w:hAnsi="Arial" w:cs="Arial"/>
          <w:sz w:val="20"/>
          <w:szCs w:val="20"/>
          <w:lang w:eastAsia="sl-SI"/>
        </w:rPr>
      </w:pPr>
      <w:bookmarkStart w:id="0" w:name="_GoBack"/>
      <w:bookmarkEnd w:id="0"/>
      <w:r w:rsidRPr="00501AC6">
        <w:rPr>
          <w:rFonts w:ascii="Arial" w:eastAsia="Times New Roman" w:hAnsi="Arial" w:cs="Arial"/>
          <w:b/>
          <w:bCs/>
          <w:sz w:val="20"/>
          <w:szCs w:val="20"/>
          <w:lang w:eastAsia="sl-SI"/>
        </w:rPr>
        <w:t>DOLOČBE, KI SE NANAŠAJO NA EVROPSKO</w:t>
      </w:r>
      <w:r w:rsidR="002F40DD">
        <w:rPr>
          <w:rFonts w:ascii="Arial" w:eastAsia="Times New Roman" w:hAnsi="Arial" w:cs="Arial"/>
          <w:b/>
          <w:bCs/>
          <w:sz w:val="20"/>
          <w:szCs w:val="20"/>
          <w:lang w:eastAsia="sl-SI"/>
        </w:rPr>
        <w:t xml:space="preserve"> </w:t>
      </w:r>
      <w:r w:rsidRPr="00501AC6">
        <w:rPr>
          <w:rFonts w:ascii="Arial" w:eastAsia="Times New Roman" w:hAnsi="Arial" w:cs="Arial"/>
          <w:b/>
          <w:bCs/>
          <w:sz w:val="20"/>
          <w:szCs w:val="20"/>
          <w:lang w:eastAsia="sl-SI"/>
        </w:rPr>
        <w:t>SODIŠČE ZA ČLOVEKOVE PRAVICE</w:t>
      </w:r>
    </w:p>
    <w:p w:rsidR="00501AC6" w:rsidRPr="00501AC6" w:rsidRDefault="00501AC6" w:rsidP="00501AC6">
      <w:pPr>
        <w:spacing w:after="240" w:line="360" w:lineRule="auto"/>
        <w:rPr>
          <w:rFonts w:ascii="Arial" w:eastAsia="Times New Roman" w:hAnsi="Arial" w:cs="Arial"/>
          <w:sz w:val="20"/>
          <w:szCs w:val="20"/>
          <w:lang w:eastAsia="sl-SI"/>
        </w:rPr>
      </w:pPr>
      <w:r w:rsidRPr="00501AC6">
        <w:rPr>
          <w:rFonts w:ascii="Arial" w:eastAsia="Times New Roman" w:hAnsi="Arial" w:cs="Arial"/>
          <w:sz w:val="20"/>
          <w:szCs w:val="20"/>
          <w:lang w:eastAsia="sl-SI"/>
        </w:rPr>
        <w:t>Vlade podpisnice tega protokola, članice Sveta Evrope, so se</w:t>
      </w:r>
    </w:p>
    <w:p w:rsidR="00501AC6" w:rsidRPr="00501AC6" w:rsidRDefault="00501AC6" w:rsidP="00501AC6">
      <w:pPr>
        <w:spacing w:after="240" w:line="360" w:lineRule="auto"/>
        <w:rPr>
          <w:rFonts w:ascii="Arial" w:eastAsia="Times New Roman" w:hAnsi="Arial" w:cs="Arial"/>
          <w:sz w:val="20"/>
          <w:szCs w:val="20"/>
          <w:lang w:eastAsia="sl-SI"/>
        </w:rPr>
      </w:pPr>
      <w:r w:rsidRPr="00501AC6">
        <w:rPr>
          <w:rFonts w:ascii="Arial" w:eastAsia="Times New Roman" w:hAnsi="Arial" w:cs="Arial"/>
          <w:sz w:val="20"/>
          <w:szCs w:val="20"/>
          <w:lang w:eastAsia="sl-SI"/>
        </w:rPr>
        <w:t>glede na to, da so članice Evropskega sodišča za človekove pravice po 59. členu Konvencije o varstvu človekovih pravic in temeljnih svoboščin, ki je bila podpisana v Rimu 4. novembra 1950 (v nadaljevanju konvencija), pri opravljanju svojih funkcij upravičene do privilegijev in imunitet, ki jih določajo 40. člen Statuta Sveta Evrope in na njegovi podlagi sprejeti sporazumi;</w:t>
      </w:r>
    </w:p>
    <w:p w:rsidR="00501AC6" w:rsidRPr="00501AC6" w:rsidRDefault="00501AC6" w:rsidP="00501AC6">
      <w:pPr>
        <w:spacing w:after="240" w:line="360" w:lineRule="auto"/>
        <w:rPr>
          <w:rFonts w:ascii="Arial" w:eastAsia="Times New Roman" w:hAnsi="Arial" w:cs="Arial"/>
          <w:sz w:val="20"/>
          <w:szCs w:val="20"/>
          <w:lang w:eastAsia="sl-SI"/>
        </w:rPr>
      </w:pPr>
      <w:r w:rsidRPr="00501AC6">
        <w:rPr>
          <w:rFonts w:ascii="Arial" w:eastAsia="Times New Roman" w:hAnsi="Arial" w:cs="Arial"/>
          <w:sz w:val="20"/>
          <w:szCs w:val="20"/>
          <w:lang w:eastAsia="sl-SI"/>
        </w:rPr>
        <w:t>in glede na to, da je treba podrobno opisati in določiti omejene privilegije in imunitete v Protokolu k Splošnemu sporazumu o privilegijih in imunitetah Sveta Evrope, ki je bil podpisan v Parizu 2. septembra 1949;</w:t>
      </w:r>
    </w:p>
    <w:p w:rsidR="00501AC6" w:rsidRPr="00501AC6" w:rsidRDefault="00501AC6" w:rsidP="00501AC6">
      <w:pPr>
        <w:spacing w:after="240" w:line="360" w:lineRule="auto"/>
        <w:rPr>
          <w:rFonts w:ascii="Arial" w:eastAsia="Times New Roman" w:hAnsi="Arial" w:cs="Arial"/>
          <w:sz w:val="20"/>
          <w:szCs w:val="20"/>
          <w:lang w:eastAsia="sl-SI"/>
        </w:rPr>
      </w:pPr>
      <w:r w:rsidRPr="00501AC6">
        <w:rPr>
          <w:rFonts w:ascii="Arial" w:eastAsia="Times New Roman" w:hAnsi="Arial" w:cs="Arial"/>
          <w:sz w:val="20"/>
          <w:szCs w:val="20"/>
          <w:lang w:eastAsia="sl-SI"/>
        </w:rPr>
        <w:t>sporazumele:</w:t>
      </w:r>
      <w:r w:rsidRPr="00501AC6">
        <w:rPr>
          <w:rFonts w:ascii="Arial" w:eastAsia="Times New Roman" w:hAnsi="Arial" w:cs="Arial"/>
          <w:sz w:val="20"/>
          <w:szCs w:val="20"/>
          <w:lang w:eastAsia="sl-SI"/>
        </w:rPr>
        <w:br/>
        <w:t> </w:t>
      </w:r>
    </w:p>
    <w:p w:rsidR="00501AC6" w:rsidRPr="00501AC6" w:rsidRDefault="00501AC6" w:rsidP="00501AC6">
      <w:pPr>
        <w:spacing w:after="240" w:line="360" w:lineRule="auto"/>
        <w:jc w:val="center"/>
        <w:rPr>
          <w:rFonts w:ascii="Arial" w:eastAsia="Times New Roman" w:hAnsi="Arial" w:cs="Arial"/>
          <w:sz w:val="20"/>
          <w:szCs w:val="20"/>
          <w:lang w:eastAsia="sl-SI"/>
        </w:rPr>
      </w:pPr>
      <w:r w:rsidRPr="00501AC6">
        <w:rPr>
          <w:rFonts w:ascii="Arial" w:eastAsia="Times New Roman" w:hAnsi="Arial" w:cs="Arial"/>
          <w:b/>
          <w:bCs/>
          <w:sz w:val="20"/>
          <w:szCs w:val="20"/>
          <w:lang w:eastAsia="sl-SI"/>
        </w:rPr>
        <w:t>1. člen</w:t>
      </w:r>
    </w:p>
    <w:p w:rsidR="00501AC6" w:rsidRPr="00501AC6" w:rsidRDefault="00501AC6" w:rsidP="00501AC6">
      <w:pPr>
        <w:spacing w:after="240" w:line="360" w:lineRule="auto"/>
        <w:rPr>
          <w:rFonts w:ascii="Arial" w:eastAsia="Times New Roman" w:hAnsi="Arial" w:cs="Arial"/>
          <w:sz w:val="20"/>
          <w:szCs w:val="20"/>
          <w:lang w:eastAsia="sl-SI"/>
        </w:rPr>
      </w:pPr>
      <w:r w:rsidRPr="00501AC6">
        <w:rPr>
          <w:rFonts w:ascii="Arial" w:eastAsia="Times New Roman" w:hAnsi="Arial" w:cs="Arial"/>
          <w:sz w:val="20"/>
          <w:szCs w:val="20"/>
          <w:lang w:eastAsia="sl-SI"/>
        </w:rPr>
        <w:t>V tem protokolu izraz "sodniki" pomeni sodnike, ki so izvoljeni v skladu z 39. členom konvencije, kot tudi vse ad hoc sodnike, ki jih imenuje država udeleženka po 43. členu konvencije.</w:t>
      </w:r>
      <w:r w:rsidRPr="00501AC6">
        <w:rPr>
          <w:rFonts w:ascii="Arial" w:eastAsia="Times New Roman" w:hAnsi="Arial" w:cs="Arial"/>
          <w:sz w:val="20"/>
          <w:szCs w:val="20"/>
          <w:lang w:eastAsia="sl-SI"/>
        </w:rPr>
        <w:br/>
        <w:t> </w:t>
      </w:r>
    </w:p>
    <w:p w:rsidR="00501AC6" w:rsidRPr="00501AC6" w:rsidRDefault="00501AC6" w:rsidP="00501AC6">
      <w:pPr>
        <w:spacing w:after="240" w:line="360" w:lineRule="auto"/>
        <w:jc w:val="center"/>
        <w:rPr>
          <w:rFonts w:ascii="Arial" w:eastAsia="Times New Roman" w:hAnsi="Arial" w:cs="Arial"/>
          <w:sz w:val="20"/>
          <w:szCs w:val="20"/>
          <w:lang w:eastAsia="sl-SI"/>
        </w:rPr>
      </w:pPr>
      <w:r w:rsidRPr="00501AC6">
        <w:rPr>
          <w:rFonts w:ascii="Arial" w:eastAsia="Times New Roman" w:hAnsi="Arial" w:cs="Arial"/>
          <w:b/>
          <w:bCs/>
          <w:sz w:val="20"/>
          <w:szCs w:val="20"/>
          <w:lang w:eastAsia="sl-SI"/>
        </w:rPr>
        <w:lastRenderedPageBreak/>
        <w:t>2. člen</w:t>
      </w:r>
    </w:p>
    <w:p w:rsidR="00501AC6" w:rsidRPr="00501AC6" w:rsidRDefault="00501AC6" w:rsidP="00501AC6">
      <w:pPr>
        <w:spacing w:after="240" w:line="360" w:lineRule="auto"/>
        <w:rPr>
          <w:rFonts w:ascii="Arial" w:eastAsia="Times New Roman" w:hAnsi="Arial" w:cs="Arial"/>
          <w:sz w:val="20"/>
          <w:szCs w:val="20"/>
          <w:lang w:eastAsia="sl-SI"/>
        </w:rPr>
      </w:pPr>
      <w:r w:rsidRPr="00501AC6">
        <w:rPr>
          <w:rFonts w:ascii="Arial" w:eastAsia="Times New Roman" w:hAnsi="Arial" w:cs="Arial"/>
          <w:sz w:val="20"/>
          <w:szCs w:val="20"/>
          <w:lang w:eastAsia="sl-SI"/>
        </w:rPr>
        <w:t>Sodniki bodo med opravljanjem svojih funkcij in med potovanji pri opravljanju svojih funkcij uživali naslednje privilegije in imunitete:</w:t>
      </w:r>
    </w:p>
    <w:p w:rsidR="00501AC6" w:rsidRPr="00501AC6" w:rsidRDefault="00501AC6" w:rsidP="00501AC6">
      <w:pPr>
        <w:spacing w:after="240" w:line="360" w:lineRule="auto"/>
        <w:rPr>
          <w:rFonts w:ascii="Arial" w:eastAsia="Times New Roman" w:hAnsi="Arial" w:cs="Arial"/>
          <w:sz w:val="20"/>
          <w:szCs w:val="20"/>
          <w:lang w:eastAsia="sl-SI"/>
        </w:rPr>
      </w:pPr>
      <w:r w:rsidRPr="00501AC6">
        <w:rPr>
          <w:rFonts w:ascii="Arial" w:eastAsia="Times New Roman" w:hAnsi="Arial" w:cs="Arial"/>
          <w:sz w:val="20"/>
          <w:szCs w:val="20"/>
          <w:lang w:eastAsia="sl-SI"/>
        </w:rPr>
        <w:t>(a) imuniteto pred osebno aretacijo ali priporom in pred zasegom svoje osebne prtljage ter imuniteto pred kakršnimi koli vrstami sodnih postopkov zaradi izgovorjenih ali napisanih besed ter dejanj, ki so jih storili pri opravljanju svojih funkcij;</w:t>
      </w:r>
    </w:p>
    <w:p w:rsidR="00501AC6" w:rsidRPr="00501AC6" w:rsidRDefault="00501AC6" w:rsidP="00501AC6">
      <w:pPr>
        <w:spacing w:after="240" w:line="360" w:lineRule="auto"/>
        <w:rPr>
          <w:rFonts w:ascii="Arial" w:eastAsia="Times New Roman" w:hAnsi="Arial" w:cs="Arial"/>
          <w:sz w:val="20"/>
          <w:szCs w:val="20"/>
          <w:lang w:eastAsia="sl-SI"/>
        </w:rPr>
      </w:pPr>
      <w:r w:rsidRPr="00501AC6">
        <w:rPr>
          <w:rFonts w:ascii="Arial" w:eastAsia="Times New Roman" w:hAnsi="Arial" w:cs="Arial"/>
          <w:sz w:val="20"/>
          <w:szCs w:val="20"/>
          <w:lang w:eastAsia="sl-SI"/>
        </w:rPr>
        <w:t>(b) oprostitev vseh omejitev zanje in za svoje soproge glede svobode gibanja pri izhodu iz države, kjer živijo, in pri vrnitvi vanjo ter pri vstopu v državo, v kateri opravljajo svoje funkcije in pri izstopu iz te države; oprostitev obveznega registriranja tujcev v državi, ki jo obiskujejo ali skozi katero potujejo med opravljanjem svojih funkcij.</w:t>
      </w:r>
      <w:r w:rsidRPr="00501AC6">
        <w:rPr>
          <w:rFonts w:ascii="Arial" w:eastAsia="Times New Roman" w:hAnsi="Arial" w:cs="Arial"/>
          <w:sz w:val="20"/>
          <w:szCs w:val="20"/>
          <w:lang w:eastAsia="sl-SI"/>
        </w:rPr>
        <w:br/>
        <w:t> </w:t>
      </w:r>
    </w:p>
    <w:p w:rsidR="00501AC6" w:rsidRPr="00501AC6" w:rsidRDefault="00501AC6" w:rsidP="00501AC6">
      <w:pPr>
        <w:spacing w:after="240" w:line="360" w:lineRule="auto"/>
        <w:jc w:val="center"/>
        <w:rPr>
          <w:rFonts w:ascii="Arial" w:eastAsia="Times New Roman" w:hAnsi="Arial" w:cs="Arial"/>
          <w:sz w:val="20"/>
          <w:szCs w:val="20"/>
          <w:lang w:eastAsia="sl-SI"/>
        </w:rPr>
      </w:pPr>
      <w:r w:rsidRPr="00501AC6">
        <w:rPr>
          <w:rFonts w:ascii="Arial" w:eastAsia="Times New Roman" w:hAnsi="Arial" w:cs="Arial"/>
          <w:b/>
          <w:bCs/>
          <w:sz w:val="20"/>
          <w:szCs w:val="20"/>
          <w:lang w:eastAsia="sl-SI"/>
        </w:rPr>
        <w:t>3. člen</w:t>
      </w:r>
    </w:p>
    <w:p w:rsidR="00501AC6" w:rsidRPr="00501AC6" w:rsidRDefault="00501AC6" w:rsidP="00501AC6">
      <w:pPr>
        <w:spacing w:after="240" w:line="360" w:lineRule="auto"/>
        <w:rPr>
          <w:rFonts w:ascii="Arial" w:eastAsia="Times New Roman" w:hAnsi="Arial" w:cs="Arial"/>
          <w:sz w:val="20"/>
          <w:szCs w:val="20"/>
          <w:lang w:eastAsia="sl-SI"/>
        </w:rPr>
      </w:pPr>
      <w:r w:rsidRPr="00501AC6">
        <w:rPr>
          <w:rFonts w:ascii="Arial" w:eastAsia="Times New Roman" w:hAnsi="Arial" w:cs="Arial"/>
          <w:sz w:val="20"/>
          <w:szCs w:val="20"/>
          <w:lang w:eastAsia="sl-SI"/>
        </w:rPr>
        <w:t>Med potovanji, na katera se odpravijo zaradi opravljanja svojih funkcij, bodo sodniki pri carinski in devizni kontroli uživali:</w:t>
      </w:r>
    </w:p>
    <w:p w:rsidR="00501AC6" w:rsidRPr="00501AC6" w:rsidRDefault="00501AC6" w:rsidP="00501AC6">
      <w:pPr>
        <w:spacing w:after="240" w:line="360" w:lineRule="auto"/>
        <w:rPr>
          <w:rFonts w:ascii="Arial" w:eastAsia="Times New Roman" w:hAnsi="Arial" w:cs="Arial"/>
          <w:sz w:val="20"/>
          <w:szCs w:val="20"/>
          <w:lang w:eastAsia="sl-SI"/>
        </w:rPr>
      </w:pPr>
      <w:r w:rsidRPr="00501AC6">
        <w:rPr>
          <w:rFonts w:ascii="Arial" w:eastAsia="Times New Roman" w:hAnsi="Arial" w:cs="Arial"/>
          <w:sz w:val="20"/>
          <w:szCs w:val="20"/>
          <w:lang w:eastAsia="sl-SI"/>
        </w:rPr>
        <w:t>(a) s strani svoje vlade enake ugodnosti, kot so jih deležni višji vladni funkcionarji, ko potujejo v tujino zaradi začasne uradne dolžnosti,</w:t>
      </w:r>
    </w:p>
    <w:p w:rsidR="00501AC6" w:rsidRPr="00501AC6" w:rsidRDefault="00501AC6" w:rsidP="00501AC6">
      <w:pPr>
        <w:spacing w:after="240" w:line="360" w:lineRule="auto"/>
        <w:rPr>
          <w:rFonts w:ascii="Arial" w:eastAsia="Times New Roman" w:hAnsi="Arial" w:cs="Arial"/>
          <w:sz w:val="20"/>
          <w:szCs w:val="20"/>
          <w:lang w:eastAsia="sl-SI"/>
        </w:rPr>
      </w:pPr>
      <w:r w:rsidRPr="00501AC6">
        <w:rPr>
          <w:rFonts w:ascii="Arial" w:eastAsia="Times New Roman" w:hAnsi="Arial" w:cs="Arial"/>
          <w:sz w:val="20"/>
          <w:szCs w:val="20"/>
          <w:lang w:eastAsia="sl-SI"/>
        </w:rPr>
        <w:t>(b) s strani vlad drugih članic enake ugodnosti, kot so jih deležni vodje diplomatskih misij.</w:t>
      </w:r>
      <w:r w:rsidRPr="00501AC6">
        <w:rPr>
          <w:rFonts w:ascii="Arial" w:eastAsia="Times New Roman" w:hAnsi="Arial" w:cs="Arial"/>
          <w:sz w:val="20"/>
          <w:szCs w:val="20"/>
          <w:lang w:eastAsia="sl-SI"/>
        </w:rPr>
        <w:br/>
        <w:t> </w:t>
      </w:r>
    </w:p>
    <w:p w:rsidR="00501AC6" w:rsidRPr="00501AC6" w:rsidRDefault="00501AC6" w:rsidP="00501AC6">
      <w:pPr>
        <w:spacing w:after="240" w:line="360" w:lineRule="auto"/>
        <w:jc w:val="center"/>
        <w:rPr>
          <w:rFonts w:ascii="Arial" w:eastAsia="Times New Roman" w:hAnsi="Arial" w:cs="Arial"/>
          <w:sz w:val="20"/>
          <w:szCs w:val="20"/>
          <w:lang w:eastAsia="sl-SI"/>
        </w:rPr>
      </w:pPr>
      <w:r w:rsidRPr="00501AC6">
        <w:rPr>
          <w:rFonts w:ascii="Arial" w:eastAsia="Times New Roman" w:hAnsi="Arial" w:cs="Arial"/>
          <w:b/>
          <w:bCs/>
          <w:sz w:val="20"/>
          <w:szCs w:val="20"/>
          <w:lang w:eastAsia="sl-SI"/>
        </w:rPr>
        <w:t>4. člen</w:t>
      </w:r>
    </w:p>
    <w:p w:rsidR="00501AC6" w:rsidRPr="00501AC6" w:rsidRDefault="00501AC6" w:rsidP="00501AC6">
      <w:pPr>
        <w:spacing w:after="240" w:line="360" w:lineRule="auto"/>
        <w:rPr>
          <w:rFonts w:ascii="Arial" w:eastAsia="Times New Roman" w:hAnsi="Arial" w:cs="Arial"/>
          <w:sz w:val="20"/>
          <w:szCs w:val="20"/>
          <w:lang w:eastAsia="sl-SI"/>
        </w:rPr>
      </w:pPr>
      <w:r w:rsidRPr="00501AC6">
        <w:rPr>
          <w:rFonts w:ascii="Arial" w:eastAsia="Times New Roman" w:hAnsi="Arial" w:cs="Arial"/>
          <w:sz w:val="20"/>
          <w:szCs w:val="20"/>
          <w:lang w:eastAsia="sl-SI"/>
        </w:rPr>
        <w:t>1. Dokumenti in listine Sodišča, sodniki in register so nedotakljivi, če se nanašajo na delo Sodišča.</w:t>
      </w:r>
    </w:p>
    <w:p w:rsidR="00501AC6" w:rsidRPr="00501AC6" w:rsidRDefault="00501AC6" w:rsidP="00501AC6">
      <w:pPr>
        <w:spacing w:after="240" w:line="360" w:lineRule="auto"/>
        <w:rPr>
          <w:rFonts w:ascii="Arial" w:eastAsia="Times New Roman" w:hAnsi="Arial" w:cs="Arial"/>
          <w:sz w:val="20"/>
          <w:szCs w:val="20"/>
          <w:lang w:eastAsia="sl-SI"/>
        </w:rPr>
      </w:pPr>
      <w:r w:rsidRPr="00501AC6">
        <w:rPr>
          <w:rFonts w:ascii="Arial" w:eastAsia="Times New Roman" w:hAnsi="Arial" w:cs="Arial"/>
          <w:sz w:val="20"/>
          <w:szCs w:val="20"/>
          <w:lang w:eastAsia="sl-SI"/>
        </w:rPr>
        <w:t>2. Uradna korespondenca in druga uradna sporočila Sodišča in njegovih članov ter registri se ne smejo zadrževati ali cenzurirati.</w:t>
      </w:r>
      <w:r w:rsidRPr="00501AC6">
        <w:rPr>
          <w:rFonts w:ascii="Arial" w:eastAsia="Times New Roman" w:hAnsi="Arial" w:cs="Arial"/>
          <w:sz w:val="20"/>
          <w:szCs w:val="20"/>
          <w:lang w:eastAsia="sl-SI"/>
        </w:rPr>
        <w:br/>
        <w:t> </w:t>
      </w:r>
    </w:p>
    <w:p w:rsidR="00501AC6" w:rsidRPr="00501AC6" w:rsidRDefault="00501AC6" w:rsidP="00501AC6">
      <w:pPr>
        <w:spacing w:after="240" w:line="360" w:lineRule="auto"/>
        <w:jc w:val="center"/>
        <w:rPr>
          <w:rFonts w:ascii="Arial" w:eastAsia="Times New Roman" w:hAnsi="Arial" w:cs="Arial"/>
          <w:sz w:val="20"/>
          <w:szCs w:val="20"/>
          <w:lang w:eastAsia="sl-SI"/>
        </w:rPr>
      </w:pPr>
      <w:r w:rsidRPr="00501AC6">
        <w:rPr>
          <w:rFonts w:ascii="Arial" w:eastAsia="Times New Roman" w:hAnsi="Arial" w:cs="Arial"/>
          <w:b/>
          <w:bCs/>
          <w:sz w:val="20"/>
          <w:szCs w:val="20"/>
          <w:lang w:eastAsia="sl-SI"/>
        </w:rPr>
        <w:t>5. člen</w:t>
      </w:r>
    </w:p>
    <w:p w:rsidR="00501AC6" w:rsidRPr="00501AC6" w:rsidRDefault="00501AC6" w:rsidP="00501AC6">
      <w:pPr>
        <w:spacing w:after="240" w:line="360" w:lineRule="auto"/>
        <w:rPr>
          <w:rFonts w:ascii="Arial" w:eastAsia="Times New Roman" w:hAnsi="Arial" w:cs="Arial"/>
          <w:sz w:val="20"/>
          <w:szCs w:val="20"/>
          <w:lang w:eastAsia="sl-SI"/>
        </w:rPr>
      </w:pPr>
      <w:r w:rsidRPr="00501AC6">
        <w:rPr>
          <w:rFonts w:ascii="Arial" w:eastAsia="Times New Roman" w:hAnsi="Arial" w:cs="Arial"/>
          <w:sz w:val="20"/>
          <w:szCs w:val="20"/>
          <w:lang w:eastAsia="sl-SI"/>
        </w:rPr>
        <w:t>Da bi sodnikom zagotovili popolno svobodo govora in popolno neodvisnost pri opravljanju njihovih dolžnosti, jim bo imuniteta pred sodnim postopkom zaradi izgovorjenih in napisanih besed ter dejanj, ki so jih storili med opravljanjem svojih dolžnosti, dodeljene tudi potem, ko ne bodo več opravljali teh dolžnosti.</w:t>
      </w:r>
      <w:r w:rsidRPr="00501AC6">
        <w:rPr>
          <w:rFonts w:ascii="Arial" w:eastAsia="Times New Roman" w:hAnsi="Arial" w:cs="Arial"/>
          <w:sz w:val="20"/>
          <w:szCs w:val="20"/>
          <w:lang w:eastAsia="sl-SI"/>
        </w:rPr>
        <w:br/>
        <w:t> </w:t>
      </w:r>
    </w:p>
    <w:p w:rsidR="00501AC6" w:rsidRPr="00501AC6" w:rsidRDefault="00501AC6" w:rsidP="00501AC6">
      <w:pPr>
        <w:spacing w:after="240" w:line="360" w:lineRule="auto"/>
        <w:jc w:val="center"/>
        <w:rPr>
          <w:rFonts w:ascii="Arial" w:eastAsia="Times New Roman" w:hAnsi="Arial" w:cs="Arial"/>
          <w:sz w:val="20"/>
          <w:szCs w:val="20"/>
          <w:lang w:eastAsia="sl-SI"/>
        </w:rPr>
      </w:pPr>
      <w:r w:rsidRPr="00501AC6">
        <w:rPr>
          <w:rFonts w:ascii="Arial" w:eastAsia="Times New Roman" w:hAnsi="Arial" w:cs="Arial"/>
          <w:b/>
          <w:bCs/>
          <w:sz w:val="20"/>
          <w:szCs w:val="20"/>
          <w:lang w:eastAsia="sl-SI"/>
        </w:rPr>
        <w:t>6. člen</w:t>
      </w:r>
    </w:p>
    <w:p w:rsidR="00501AC6" w:rsidRPr="00501AC6" w:rsidRDefault="00501AC6" w:rsidP="00501AC6">
      <w:pPr>
        <w:spacing w:after="240" w:line="360" w:lineRule="auto"/>
        <w:rPr>
          <w:rFonts w:ascii="Arial" w:eastAsia="Times New Roman" w:hAnsi="Arial" w:cs="Arial"/>
          <w:sz w:val="20"/>
          <w:szCs w:val="20"/>
          <w:lang w:eastAsia="sl-SI"/>
        </w:rPr>
      </w:pPr>
      <w:r w:rsidRPr="00501AC6">
        <w:rPr>
          <w:rFonts w:ascii="Arial" w:eastAsia="Times New Roman" w:hAnsi="Arial" w:cs="Arial"/>
          <w:sz w:val="20"/>
          <w:szCs w:val="20"/>
          <w:lang w:eastAsia="sl-SI"/>
        </w:rPr>
        <w:lastRenderedPageBreak/>
        <w:t>Privilegiji in imunitete so sodnikom podeljeni, da bi zagotovili neodvisno opravljanje njihovih funkcij in ne zaradi njihovih osebnih koristi. Sodišče bo imelo pravico, da med plenarnim zasedanjem odvzame imuniteto sodnikom; to ni le njegova pravica, ampak je njegova dolžnost v vsakem primeru, ko bi po njegovem mnenju imuniteta lahko ovirala uresničevanje načela zakonitosti, in kadar jo je mogoče odvzeti brez škode za namen, zaradi katerega je bila podeljena.</w:t>
      </w:r>
      <w:r w:rsidRPr="00501AC6">
        <w:rPr>
          <w:rFonts w:ascii="Arial" w:eastAsia="Times New Roman" w:hAnsi="Arial" w:cs="Arial"/>
          <w:sz w:val="20"/>
          <w:szCs w:val="20"/>
          <w:lang w:eastAsia="sl-SI"/>
        </w:rPr>
        <w:br/>
        <w:t> </w:t>
      </w:r>
    </w:p>
    <w:p w:rsidR="00501AC6" w:rsidRPr="00501AC6" w:rsidRDefault="00501AC6" w:rsidP="00501AC6">
      <w:pPr>
        <w:spacing w:after="240" w:line="360" w:lineRule="auto"/>
        <w:jc w:val="center"/>
        <w:rPr>
          <w:rFonts w:ascii="Arial" w:eastAsia="Times New Roman" w:hAnsi="Arial" w:cs="Arial"/>
          <w:sz w:val="20"/>
          <w:szCs w:val="20"/>
          <w:lang w:eastAsia="sl-SI"/>
        </w:rPr>
      </w:pPr>
      <w:r w:rsidRPr="00501AC6">
        <w:rPr>
          <w:rFonts w:ascii="Arial" w:eastAsia="Times New Roman" w:hAnsi="Arial" w:cs="Arial"/>
          <w:b/>
          <w:bCs/>
          <w:sz w:val="20"/>
          <w:szCs w:val="20"/>
          <w:lang w:eastAsia="sl-SI"/>
        </w:rPr>
        <w:t>7. člen</w:t>
      </w:r>
    </w:p>
    <w:p w:rsidR="00501AC6" w:rsidRPr="00501AC6" w:rsidRDefault="00501AC6" w:rsidP="00501AC6">
      <w:pPr>
        <w:spacing w:after="240" w:line="360" w:lineRule="auto"/>
        <w:rPr>
          <w:rFonts w:ascii="Arial" w:eastAsia="Times New Roman" w:hAnsi="Arial" w:cs="Arial"/>
          <w:sz w:val="20"/>
          <w:szCs w:val="20"/>
          <w:lang w:eastAsia="sl-SI"/>
        </w:rPr>
      </w:pPr>
      <w:r w:rsidRPr="00501AC6">
        <w:rPr>
          <w:rFonts w:ascii="Arial" w:eastAsia="Times New Roman" w:hAnsi="Arial" w:cs="Arial"/>
          <w:sz w:val="20"/>
          <w:szCs w:val="20"/>
          <w:lang w:eastAsia="sl-SI"/>
        </w:rPr>
        <w:t>1. Določbe 2. in 5. člena tega protokola bodo veljale za registratorja Sodišča in za namestnika registratorja, kadar deluje v njegovi funkciji, brez škode za vse privilegije in imunitete, do katerih sta upravičena po 18. členu Splošnega sporazuma o privilegijih in imunitetah Sveta Evrope.</w:t>
      </w:r>
    </w:p>
    <w:p w:rsidR="00501AC6" w:rsidRPr="00501AC6" w:rsidRDefault="00501AC6" w:rsidP="00501AC6">
      <w:pPr>
        <w:spacing w:after="240" w:line="360" w:lineRule="auto"/>
        <w:rPr>
          <w:rFonts w:ascii="Arial" w:eastAsia="Times New Roman" w:hAnsi="Arial" w:cs="Arial"/>
          <w:sz w:val="20"/>
          <w:szCs w:val="20"/>
          <w:lang w:eastAsia="sl-SI"/>
        </w:rPr>
      </w:pPr>
      <w:r w:rsidRPr="00501AC6">
        <w:rPr>
          <w:rFonts w:ascii="Arial" w:eastAsia="Times New Roman" w:hAnsi="Arial" w:cs="Arial"/>
          <w:sz w:val="20"/>
          <w:szCs w:val="20"/>
          <w:lang w:eastAsia="sl-SI"/>
        </w:rPr>
        <w:t>2. Določbe 18. člena Splošnega sporazuma o privilegijih in imunitetah Sveta Evrope veljajo za namestnika registratorja Sodišča za njegovo delo, kadar ne nastopa kot register.</w:t>
      </w:r>
    </w:p>
    <w:p w:rsidR="00501AC6" w:rsidRPr="00501AC6" w:rsidRDefault="00501AC6" w:rsidP="00501AC6">
      <w:pPr>
        <w:spacing w:after="240" w:line="360" w:lineRule="auto"/>
        <w:rPr>
          <w:rFonts w:ascii="Arial" w:eastAsia="Times New Roman" w:hAnsi="Arial" w:cs="Arial"/>
          <w:sz w:val="20"/>
          <w:szCs w:val="20"/>
          <w:lang w:eastAsia="sl-SI"/>
        </w:rPr>
      </w:pPr>
      <w:r w:rsidRPr="00501AC6">
        <w:rPr>
          <w:rFonts w:ascii="Arial" w:eastAsia="Times New Roman" w:hAnsi="Arial" w:cs="Arial"/>
          <w:sz w:val="20"/>
          <w:szCs w:val="20"/>
          <w:lang w:eastAsia="sl-SI"/>
        </w:rPr>
        <w:t>3. Privilegiji in imunitete, na katere se nanašata 1. in 2. odstavek tega člena, so podeljeni registratorju in njegovemu namestniku zaradi lažjega izpolnjevanja njunih dolžnosti in ne zaradi nujnih osebnih koristi. Samo Sodišče ima pravico, da med plenarnim zasedanjem odvzame imuniteto svojemu registratorju in njegovemu namestniku; to ni le njegova pravica, ampak tudi dolžnost, da odvzame tako imuniteto v vsakem primeru, ko bi po njegovem mnenju ta imuniteta ovirala uresničevanje načela zakonitosti, in kadar jo je moč odvzeti brez škode glede na namen, zaradi katerega je bila podeljena.</w:t>
      </w:r>
      <w:r w:rsidRPr="00501AC6">
        <w:rPr>
          <w:rFonts w:ascii="Arial" w:eastAsia="Times New Roman" w:hAnsi="Arial" w:cs="Arial"/>
          <w:sz w:val="20"/>
          <w:szCs w:val="20"/>
          <w:lang w:eastAsia="sl-SI"/>
        </w:rPr>
        <w:br/>
        <w:t> </w:t>
      </w:r>
    </w:p>
    <w:p w:rsidR="00501AC6" w:rsidRPr="00501AC6" w:rsidRDefault="00501AC6" w:rsidP="00501AC6">
      <w:pPr>
        <w:spacing w:after="240" w:line="360" w:lineRule="auto"/>
        <w:jc w:val="center"/>
        <w:rPr>
          <w:rFonts w:ascii="Arial" w:eastAsia="Times New Roman" w:hAnsi="Arial" w:cs="Arial"/>
          <w:sz w:val="20"/>
          <w:szCs w:val="20"/>
          <w:lang w:eastAsia="sl-SI"/>
        </w:rPr>
      </w:pPr>
      <w:r w:rsidRPr="00501AC6">
        <w:rPr>
          <w:rFonts w:ascii="Arial" w:eastAsia="Times New Roman" w:hAnsi="Arial" w:cs="Arial"/>
          <w:b/>
          <w:bCs/>
          <w:sz w:val="20"/>
          <w:szCs w:val="20"/>
          <w:lang w:eastAsia="sl-SI"/>
        </w:rPr>
        <w:t>8. člen</w:t>
      </w:r>
    </w:p>
    <w:p w:rsidR="00501AC6" w:rsidRPr="00501AC6" w:rsidRDefault="00501AC6" w:rsidP="00501AC6">
      <w:pPr>
        <w:spacing w:after="240" w:line="360" w:lineRule="auto"/>
        <w:rPr>
          <w:rFonts w:ascii="Arial" w:eastAsia="Times New Roman" w:hAnsi="Arial" w:cs="Arial"/>
          <w:sz w:val="20"/>
          <w:szCs w:val="20"/>
          <w:lang w:eastAsia="sl-SI"/>
        </w:rPr>
      </w:pPr>
      <w:r w:rsidRPr="00501AC6">
        <w:rPr>
          <w:rFonts w:ascii="Arial" w:eastAsia="Times New Roman" w:hAnsi="Arial" w:cs="Arial"/>
          <w:sz w:val="20"/>
          <w:szCs w:val="20"/>
          <w:lang w:eastAsia="sl-SI"/>
        </w:rPr>
        <w:t>1. Vsaka država lahko ob podpisu brez pridržka glede ratifikacije, ob ratifikaciji ali kadar koli kasneje z obvestilom, naslovljenim na generalnega sekretarja Sveta Evrope, izjavi, da bo veljavnost tega protokola razširila na vsa ali na nekatera ozemlja, za katerih mednarodne povezave je odgovorna in kjer se v skladu s 63. členom Konvencije o varstvu človekovih pravic in temeljnih svoboščin omenjena konvencija uporablja.</w:t>
      </w:r>
    </w:p>
    <w:p w:rsidR="00501AC6" w:rsidRPr="00501AC6" w:rsidRDefault="00501AC6" w:rsidP="00501AC6">
      <w:pPr>
        <w:spacing w:after="240" w:line="360" w:lineRule="auto"/>
        <w:rPr>
          <w:rFonts w:ascii="Arial" w:eastAsia="Times New Roman" w:hAnsi="Arial" w:cs="Arial"/>
          <w:sz w:val="20"/>
          <w:szCs w:val="20"/>
          <w:lang w:eastAsia="sl-SI"/>
        </w:rPr>
      </w:pPr>
      <w:r w:rsidRPr="00501AC6">
        <w:rPr>
          <w:rFonts w:ascii="Arial" w:eastAsia="Times New Roman" w:hAnsi="Arial" w:cs="Arial"/>
          <w:sz w:val="20"/>
          <w:szCs w:val="20"/>
          <w:lang w:eastAsia="sl-SI"/>
        </w:rPr>
        <w:t>2. Veljavnost protokola se bo razširila na ozemlje ali ozemlja, ki bodo imenovana v obvestilu, trideset dni po tem, ko bo generalni sekretar Sveta Evrope prejel to obvestilo.</w:t>
      </w:r>
      <w:r w:rsidRPr="00501AC6">
        <w:rPr>
          <w:rFonts w:ascii="Arial" w:eastAsia="Times New Roman" w:hAnsi="Arial" w:cs="Arial"/>
          <w:sz w:val="20"/>
          <w:szCs w:val="20"/>
          <w:lang w:eastAsia="sl-SI"/>
        </w:rPr>
        <w:br/>
        <w:t> </w:t>
      </w:r>
    </w:p>
    <w:p w:rsidR="00501AC6" w:rsidRPr="00501AC6" w:rsidRDefault="00501AC6" w:rsidP="00501AC6">
      <w:pPr>
        <w:spacing w:after="240" w:line="360" w:lineRule="auto"/>
        <w:jc w:val="center"/>
        <w:rPr>
          <w:rFonts w:ascii="Arial" w:eastAsia="Times New Roman" w:hAnsi="Arial" w:cs="Arial"/>
          <w:sz w:val="20"/>
          <w:szCs w:val="20"/>
          <w:lang w:eastAsia="sl-SI"/>
        </w:rPr>
      </w:pPr>
      <w:r w:rsidRPr="00501AC6">
        <w:rPr>
          <w:rFonts w:ascii="Arial" w:eastAsia="Times New Roman" w:hAnsi="Arial" w:cs="Arial"/>
          <w:b/>
          <w:bCs/>
          <w:sz w:val="20"/>
          <w:szCs w:val="20"/>
          <w:lang w:eastAsia="sl-SI"/>
        </w:rPr>
        <w:t>9. člen</w:t>
      </w:r>
    </w:p>
    <w:p w:rsidR="00501AC6" w:rsidRPr="00501AC6" w:rsidRDefault="00501AC6" w:rsidP="00501AC6">
      <w:pPr>
        <w:spacing w:after="240" w:line="360" w:lineRule="auto"/>
        <w:rPr>
          <w:rFonts w:ascii="Arial" w:eastAsia="Times New Roman" w:hAnsi="Arial" w:cs="Arial"/>
          <w:sz w:val="20"/>
          <w:szCs w:val="20"/>
          <w:lang w:eastAsia="sl-SI"/>
        </w:rPr>
      </w:pPr>
      <w:r w:rsidRPr="00501AC6">
        <w:rPr>
          <w:rFonts w:ascii="Arial" w:eastAsia="Times New Roman" w:hAnsi="Arial" w:cs="Arial"/>
          <w:sz w:val="20"/>
          <w:szCs w:val="20"/>
          <w:lang w:eastAsia="sl-SI"/>
        </w:rPr>
        <w:t>Ta protokol bo odprl za podpis za članice Sveta Evrope, ki lahko postanejo članice:</w:t>
      </w:r>
    </w:p>
    <w:p w:rsidR="00501AC6" w:rsidRPr="00501AC6" w:rsidRDefault="00501AC6" w:rsidP="00501AC6">
      <w:pPr>
        <w:spacing w:after="240" w:line="360" w:lineRule="auto"/>
        <w:rPr>
          <w:rFonts w:ascii="Arial" w:eastAsia="Times New Roman" w:hAnsi="Arial" w:cs="Arial"/>
          <w:sz w:val="20"/>
          <w:szCs w:val="20"/>
          <w:lang w:eastAsia="sl-SI"/>
        </w:rPr>
      </w:pPr>
      <w:r w:rsidRPr="00501AC6">
        <w:rPr>
          <w:rFonts w:ascii="Arial" w:eastAsia="Times New Roman" w:hAnsi="Arial" w:cs="Arial"/>
          <w:sz w:val="20"/>
          <w:szCs w:val="20"/>
          <w:lang w:eastAsia="sl-SI"/>
        </w:rPr>
        <w:t xml:space="preserve">(a) s podpisom brez pridržka ratifikacije ali </w:t>
      </w:r>
    </w:p>
    <w:p w:rsidR="00501AC6" w:rsidRPr="00501AC6" w:rsidRDefault="00501AC6" w:rsidP="00501AC6">
      <w:pPr>
        <w:spacing w:after="240" w:line="360" w:lineRule="auto"/>
        <w:rPr>
          <w:rFonts w:ascii="Arial" w:eastAsia="Times New Roman" w:hAnsi="Arial" w:cs="Arial"/>
          <w:sz w:val="20"/>
          <w:szCs w:val="20"/>
          <w:lang w:eastAsia="sl-SI"/>
        </w:rPr>
      </w:pPr>
      <w:r w:rsidRPr="00501AC6">
        <w:rPr>
          <w:rFonts w:ascii="Arial" w:eastAsia="Times New Roman" w:hAnsi="Arial" w:cs="Arial"/>
          <w:sz w:val="20"/>
          <w:szCs w:val="20"/>
          <w:lang w:eastAsia="sl-SI"/>
        </w:rPr>
        <w:t>(b) s podpisom s pridržkom ratifikacije, ki mu sledi ratifikacija.</w:t>
      </w:r>
    </w:p>
    <w:p w:rsidR="00501AC6" w:rsidRPr="00501AC6" w:rsidRDefault="00501AC6" w:rsidP="00501AC6">
      <w:pPr>
        <w:spacing w:after="240" w:line="360" w:lineRule="auto"/>
        <w:rPr>
          <w:rFonts w:ascii="Arial" w:eastAsia="Times New Roman" w:hAnsi="Arial" w:cs="Arial"/>
          <w:sz w:val="20"/>
          <w:szCs w:val="20"/>
          <w:lang w:eastAsia="sl-SI"/>
        </w:rPr>
      </w:pPr>
      <w:r w:rsidRPr="00501AC6">
        <w:rPr>
          <w:rFonts w:ascii="Arial" w:eastAsia="Times New Roman" w:hAnsi="Arial" w:cs="Arial"/>
          <w:sz w:val="20"/>
          <w:szCs w:val="20"/>
          <w:lang w:eastAsia="sl-SI"/>
        </w:rPr>
        <w:lastRenderedPageBreak/>
        <w:t>Ratifikacijske listine bodo deponirane pri generalnemu sekretarju Sveta Evrope.</w:t>
      </w:r>
      <w:r w:rsidRPr="00501AC6">
        <w:rPr>
          <w:rFonts w:ascii="Arial" w:eastAsia="Times New Roman" w:hAnsi="Arial" w:cs="Arial"/>
          <w:sz w:val="20"/>
          <w:szCs w:val="20"/>
          <w:lang w:eastAsia="sl-SI"/>
        </w:rPr>
        <w:br/>
        <w:t> </w:t>
      </w:r>
    </w:p>
    <w:p w:rsidR="00501AC6" w:rsidRPr="00501AC6" w:rsidRDefault="00501AC6" w:rsidP="00501AC6">
      <w:pPr>
        <w:spacing w:after="240" w:line="360" w:lineRule="auto"/>
        <w:jc w:val="center"/>
        <w:rPr>
          <w:rFonts w:ascii="Arial" w:eastAsia="Times New Roman" w:hAnsi="Arial" w:cs="Arial"/>
          <w:sz w:val="20"/>
          <w:szCs w:val="20"/>
          <w:lang w:eastAsia="sl-SI"/>
        </w:rPr>
      </w:pPr>
      <w:r w:rsidRPr="00501AC6">
        <w:rPr>
          <w:rFonts w:ascii="Arial" w:eastAsia="Times New Roman" w:hAnsi="Arial" w:cs="Arial"/>
          <w:b/>
          <w:bCs/>
          <w:sz w:val="20"/>
          <w:szCs w:val="20"/>
          <w:lang w:eastAsia="sl-SI"/>
        </w:rPr>
        <w:t>10. člen</w:t>
      </w:r>
    </w:p>
    <w:p w:rsidR="00501AC6" w:rsidRPr="00501AC6" w:rsidRDefault="00501AC6" w:rsidP="00501AC6">
      <w:pPr>
        <w:spacing w:after="240" w:line="360" w:lineRule="auto"/>
        <w:rPr>
          <w:rFonts w:ascii="Arial" w:eastAsia="Times New Roman" w:hAnsi="Arial" w:cs="Arial"/>
          <w:sz w:val="20"/>
          <w:szCs w:val="20"/>
          <w:lang w:eastAsia="sl-SI"/>
        </w:rPr>
      </w:pPr>
      <w:r w:rsidRPr="00501AC6">
        <w:rPr>
          <w:rFonts w:ascii="Arial" w:eastAsia="Times New Roman" w:hAnsi="Arial" w:cs="Arial"/>
          <w:sz w:val="20"/>
          <w:szCs w:val="20"/>
          <w:lang w:eastAsia="sl-SI"/>
        </w:rPr>
        <w:t>1. Ta protokol bo pričel veljati takoj, ko ga bodo tri članice Sveta Evrope v skladu z 9. členom podpisale brez pridržka glede ratifikacije ali ga bodo ratificirale.</w:t>
      </w:r>
    </w:p>
    <w:p w:rsidR="00501AC6" w:rsidRPr="00501AC6" w:rsidRDefault="00501AC6" w:rsidP="00501AC6">
      <w:pPr>
        <w:spacing w:after="240" w:line="360" w:lineRule="auto"/>
        <w:rPr>
          <w:rFonts w:ascii="Arial" w:eastAsia="Times New Roman" w:hAnsi="Arial" w:cs="Arial"/>
          <w:sz w:val="20"/>
          <w:szCs w:val="20"/>
          <w:lang w:eastAsia="sl-SI"/>
        </w:rPr>
      </w:pPr>
      <w:r w:rsidRPr="00501AC6">
        <w:rPr>
          <w:rFonts w:ascii="Arial" w:eastAsia="Times New Roman" w:hAnsi="Arial" w:cs="Arial"/>
          <w:sz w:val="20"/>
          <w:szCs w:val="20"/>
          <w:lang w:eastAsia="sl-SI"/>
        </w:rPr>
        <w:t>2. Za članice, ki bodo protokol podpisale kasneje brez pridržka ratifikacije ali ga bodo ratificirale, bo pričel veljati z dnem podpisa ali z dnem deponiranja ratifikacijske listine.</w:t>
      </w:r>
      <w:r w:rsidRPr="00501AC6">
        <w:rPr>
          <w:rFonts w:ascii="Arial" w:eastAsia="Times New Roman" w:hAnsi="Arial" w:cs="Arial"/>
          <w:sz w:val="20"/>
          <w:szCs w:val="20"/>
          <w:lang w:eastAsia="sl-SI"/>
        </w:rPr>
        <w:br/>
        <w:t> </w:t>
      </w:r>
    </w:p>
    <w:p w:rsidR="00501AC6" w:rsidRPr="00501AC6" w:rsidRDefault="00501AC6" w:rsidP="00501AC6">
      <w:pPr>
        <w:spacing w:after="240" w:line="360" w:lineRule="auto"/>
        <w:jc w:val="center"/>
        <w:rPr>
          <w:rFonts w:ascii="Arial" w:eastAsia="Times New Roman" w:hAnsi="Arial" w:cs="Arial"/>
          <w:sz w:val="20"/>
          <w:szCs w:val="20"/>
          <w:lang w:eastAsia="sl-SI"/>
        </w:rPr>
      </w:pPr>
      <w:r w:rsidRPr="00501AC6">
        <w:rPr>
          <w:rFonts w:ascii="Arial" w:eastAsia="Times New Roman" w:hAnsi="Arial" w:cs="Arial"/>
          <w:b/>
          <w:bCs/>
          <w:sz w:val="20"/>
          <w:szCs w:val="20"/>
          <w:lang w:eastAsia="sl-SI"/>
        </w:rPr>
        <w:t>11. člen</w:t>
      </w:r>
    </w:p>
    <w:p w:rsidR="00501AC6" w:rsidRPr="00501AC6" w:rsidRDefault="00501AC6" w:rsidP="00501AC6">
      <w:pPr>
        <w:spacing w:after="240" w:line="360" w:lineRule="auto"/>
        <w:rPr>
          <w:rFonts w:ascii="Arial" w:eastAsia="Times New Roman" w:hAnsi="Arial" w:cs="Arial"/>
          <w:sz w:val="20"/>
          <w:szCs w:val="20"/>
          <w:lang w:eastAsia="sl-SI"/>
        </w:rPr>
      </w:pPr>
      <w:r w:rsidRPr="00501AC6">
        <w:rPr>
          <w:rFonts w:ascii="Arial" w:eastAsia="Times New Roman" w:hAnsi="Arial" w:cs="Arial"/>
          <w:sz w:val="20"/>
          <w:szCs w:val="20"/>
          <w:lang w:eastAsia="sl-SI"/>
        </w:rPr>
        <w:t>Generalni sekretar Sveta Evrope bo obvestil članice Sveta o:</w:t>
      </w:r>
    </w:p>
    <w:p w:rsidR="00501AC6" w:rsidRPr="00501AC6" w:rsidRDefault="00501AC6" w:rsidP="00501AC6">
      <w:pPr>
        <w:spacing w:after="240" w:line="360" w:lineRule="auto"/>
        <w:rPr>
          <w:rFonts w:ascii="Arial" w:eastAsia="Times New Roman" w:hAnsi="Arial" w:cs="Arial"/>
          <w:sz w:val="20"/>
          <w:szCs w:val="20"/>
          <w:lang w:eastAsia="sl-SI"/>
        </w:rPr>
      </w:pPr>
      <w:r w:rsidRPr="00501AC6">
        <w:rPr>
          <w:rFonts w:ascii="Arial" w:eastAsia="Times New Roman" w:hAnsi="Arial" w:cs="Arial"/>
          <w:sz w:val="20"/>
          <w:szCs w:val="20"/>
          <w:lang w:eastAsia="sl-SI"/>
        </w:rPr>
        <w:t>(a) imenih vseh podpisnic in depozitu vsake ratifikacijske listine;</w:t>
      </w:r>
    </w:p>
    <w:p w:rsidR="00501AC6" w:rsidRPr="00501AC6" w:rsidRDefault="00501AC6" w:rsidP="00501AC6">
      <w:pPr>
        <w:spacing w:after="240" w:line="360" w:lineRule="auto"/>
        <w:rPr>
          <w:rFonts w:ascii="Arial" w:eastAsia="Times New Roman" w:hAnsi="Arial" w:cs="Arial"/>
          <w:sz w:val="20"/>
          <w:szCs w:val="20"/>
          <w:lang w:eastAsia="sl-SI"/>
        </w:rPr>
      </w:pPr>
      <w:r w:rsidRPr="00501AC6">
        <w:rPr>
          <w:rFonts w:ascii="Arial" w:eastAsia="Times New Roman" w:hAnsi="Arial" w:cs="Arial"/>
          <w:sz w:val="20"/>
          <w:szCs w:val="20"/>
          <w:lang w:eastAsia="sl-SI"/>
        </w:rPr>
        <w:t>(b) datumu, s katerim bo ta protokol pričel veljati.</w:t>
      </w:r>
    </w:p>
    <w:p w:rsidR="00501AC6" w:rsidRPr="00501AC6" w:rsidRDefault="00501AC6" w:rsidP="00501AC6">
      <w:pPr>
        <w:spacing w:after="240" w:line="360" w:lineRule="auto"/>
        <w:rPr>
          <w:rFonts w:ascii="Arial" w:eastAsia="Times New Roman" w:hAnsi="Arial" w:cs="Arial"/>
          <w:sz w:val="20"/>
          <w:szCs w:val="20"/>
          <w:lang w:eastAsia="sl-SI"/>
        </w:rPr>
      </w:pPr>
      <w:r w:rsidRPr="00501AC6">
        <w:rPr>
          <w:rFonts w:ascii="Arial" w:eastAsia="Times New Roman" w:hAnsi="Arial" w:cs="Arial"/>
          <w:sz w:val="20"/>
          <w:szCs w:val="20"/>
          <w:lang w:eastAsia="sl-SI"/>
        </w:rPr>
        <w:t>V dokaz dogovorjenega so podpisani s polnim pooblastilom v ta namen podpisali ta protokol.</w:t>
      </w:r>
    </w:p>
    <w:p w:rsidR="00501AC6" w:rsidRPr="00501AC6" w:rsidRDefault="00501AC6" w:rsidP="00501AC6">
      <w:pPr>
        <w:spacing w:after="240" w:line="360" w:lineRule="auto"/>
        <w:rPr>
          <w:rFonts w:ascii="Arial" w:eastAsia="Times New Roman" w:hAnsi="Arial" w:cs="Arial"/>
          <w:sz w:val="20"/>
          <w:szCs w:val="20"/>
          <w:lang w:eastAsia="sl-SI"/>
        </w:rPr>
      </w:pPr>
      <w:r w:rsidRPr="00501AC6">
        <w:rPr>
          <w:rFonts w:ascii="Arial" w:eastAsia="Times New Roman" w:hAnsi="Arial" w:cs="Arial"/>
          <w:sz w:val="20"/>
          <w:szCs w:val="20"/>
          <w:lang w:eastAsia="sl-SI"/>
        </w:rPr>
        <w:t xml:space="preserve">Sestavljeno v Parizu 16. decembra 1961, v angleščini in francoščini; besedili sta enako verodostojni in bosta v enem izvodu deponirani v arhivu Sveta Evrope. Generalni sekretar bo poslal overjene kopije vsem vladam podpisnicam. </w:t>
      </w:r>
    </w:p>
    <w:p w:rsidR="005D5212" w:rsidRPr="00501AC6" w:rsidRDefault="005D5212" w:rsidP="00501AC6">
      <w:pPr>
        <w:spacing w:line="360" w:lineRule="auto"/>
        <w:rPr>
          <w:rFonts w:ascii="Arial" w:hAnsi="Arial" w:cs="Arial"/>
          <w:sz w:val="20"/>
          <w:szCs w:val="20"/>
        </w:rPr>
      </w:pPr>
    </w:p>
    <w:sectPr w:rsidR="005D5212" w:rsidRPr="00501A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40E42"/>
    <w:multiLevelType w:val="multilevel"/>
    <w:tmpl w:val="5376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C6"/>
    <w:rsid w:val="002F40DD"/>
    <w:rsid w:val="00501AC6"/>
    <w:rsid w:val="005D52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F40D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F40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F40D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F40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053">
      <w:bodyDiv w:val="1"/>
      <w:marLeft w:val="75"/>
      <w:marRight w:val="75"/>
      <w:marTop w:val="75"/>
      <w:marBottom w:val="75"/>
      <w:divBdr>
        <w:top w:val="none" w:sz="0" w:space="0" w:color="auto"/>
        <w:left w:val="none" w:sz="0" w:space="0" w:color="auto"/>
        <w:bottom w:val="none" w:sz="0" w:space="0" w:color="auto"/>
        <w:right w:val="none" w:sz="0" w:space="0" w:color="auto"/>
      </w:divBdr>
      <w:divsChild>
        <w:div w:id="1942643038">
          <w:marLeft w:val="0"/>
          <w:marRight w:val="0"/>
          <w:marTop w:val="150"/>
          <w:marBottom w:val="0"/>
          <w:divBdr>
            <w:top w:val="none" w:sz="0" w:space="0" w:color="auto"/>
            <w:left w:val="none" w:sz="0" w:space="0" w:color="auto"/>
            <w:bottom w:val="none" w:sz="0" w:space="0" w:color="auto"/>
            <w:right w:val="none" w:sz="0" w:space="0" w:color="auto"/>
          </w:divBdr>
          <w:divsChild>
            <w:div w:id="14775404">
              <w:marLeft w:val="2880"/>
              <w:marRight w:val="2880"/>
              <w:marTop w:val="0"/>
              <w:marBottom w:val="0"/>
              <w:divBdr>
                <w:top w:val="single" w:sz="6" w:space="8" w:color="365578"/>
                <w:left w:val="single" w:sz="6" w:space="8" w:color="365578"/>
                <w:bottom w:val="single" w:sz="6" w:space="8" w:color="365578"/>
                <w:right w:val="single" w:sz="6" w:space="8" w:color="365578"/>
              </w:divBdr>
              <w:divsChild>
                <w:div w:id="1559364038">
                  <w:marLeft w:val="0"/>
                  <w:marRight w:val="0"/>
                  <w:marTop w:val="0"/>
                  <w:marBottom w:val="0"/>
                  <w:divBdr>
                    <w:top w:val="none" w:sz="0" w:space="0" w:color="auto"/>
                    <w:left w:val="none" w:sz="0" w:space="0" w:color="auto"/>
                    <w:bottom w:val="none" w:sz="0" w:space="0" w:color="auto"/>
                    <w:right w:val="none" w:sz="0" w:space="0" w:color="auto"/>
                  </w:divBdr>
                  <w:divsChild>
                    <w:div w:id="1579051665">
                      <w:marLeft w:val="0"/>
                      <w:marRight w:val="0"/>
                      <w:marTop w:val="0"/>
                      <w:marBottom w:val="0"/>
                      <w:divBdr>
                        <w:top w:val="none" w:sz="0" w:space="0" w:color="auto"/>
                        <w:left w:val="none" w:sz="0" w:space="0" w:color="auto"/>
                        <w:bottom w:val="none" w:sz="0" w:space="0" w:color="auto"/>
                        <w:right w:val="none" w:sz="0" w:space="0" w:color="auto"/>
                      </w:divBdr>
                    </w:div>
                    <w:div w:id="13873346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909</Words>
  <Characters>5187</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2019-05-15T06:40:00Z</dcterms:created>
  <dcterms:modified xsi:type="dcterms:W3CDTF">2019-05-22T04:57:00Z</dcterms:modified>
</cp:coreProperties>
</file>